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9FB0" w14:textId="53858656" w:rsidR="0097170C" w:rsidRDefault="00951707" w:rsidP="008374A3">
      <w:pPr>
        <w:pStyle w:val="Heading1"/>
        <w:spacing w:before="120" w:after="120"/>
        <w:rPr>
          <w:rFonts w:eastAsia="Times New Roman"/>
          <w:color w:val="auto"/>
        </w:rPr>
      </w:pPr>
      <w:r>
        <w:rPr>
          <w:rFonts w:eastAsia="Times New Roman"/>
          <w:color w:val="auto"/>
        </w:rPr>
        <w:t>Pending</w:t>
      </w:r>
      <w:r w:rsidR="001F7BD1">
        <w:rPr>
          <w:rFonts w:eastAsia="Times New Roman"/>
          <w:color w:val="auto"/>
        </w:rPr>
        <w:t xml:space="preserve"> </w:t>
      </w:r>
      <w:r w:rsidR="0097170C">
        <w:rPr>
          <w:rFonts w:eastAsia="Times New Roman"/>
          <w:color w:val="auto"/>
        </w:rPr>
        <w:t>Research Prioritization</w:t>
      </w:r>
    </w:p>
    <w:p w14:paraId="47B68337" w14:textId="32E69628" w:rsidR="002D7D72" w:rsidRPr="0097170C" w:rsidRDefault="00985A08" w:rsidP="008374A3">
      <w:pPr>
        <w:pStyle w:val="Heading2"/>
        <w:rPr>
          <w:rFonts w:eastAsia="Times New Roman"/>
          <w:color w:val="auto"/>
        </w:rPr>
      </w:pPr>
      <w:r w:rsidRPr="0097170C">
        <w:rPr>
          <w:rFonts w:eastAsia="Times New Roman"/>
          <w:color w:val="auto"/>
        </w:rPr>
        <w:t>Research Staff Availability</w:t>
      </w:r>
    </w:p>
    <w:p w14:paraId="7A5B3024" w14:textId="17CA8D12" w:rsidR="00985A08" w:rsidRDefault="0097170C" w:rsidP="0077313B">
      <w:pPr>
        <w:autoSpaceDE w:val="0"/>
        <w:autoSpaceDN w:val="0"/>
        <w:adjustRightInd w:val="0"/>
        <w:spacing w:after="0" w:line="240" w:lineRule="auto"/>
        <w:contextualSpacing/>
        <w:rPr>
          <w:sz w:val="24"/>
          <w:szCs w:val="24"/>
        </w:rPr>
      </w:pPr>
      <w:r>
        <w:rPr>
          <w:sz w:val="24"/>
          <w:szCs w:val="24"/>
        </w:rPr>
        <w:t>Three res</w:t>
      </w:r>
      <w:r w:rsidR="00812545" w:rsidRPr="0077313B">
        <w:rPr>
          <w:sz w:val="24"/>
          <w:szCs w:val="24"/>
        </w:rPr>
        <w:t xml:space="preserve">earch </w:t>
      </w:r>
      <w:r>
        <w:rPr>
          <w:sz w:val="24"/>
          <w:szCs w:val="24"/>
        </w:rPr>
        <w:t>lines</w:t>
      </w:r>
      <w:r w:rsidR="00812545" w:rsidRPr="0077313B">
        <w:rPr>
          <w:sz w:val="24"/>
          <w:szCs w:val="24"/>
        </w:rPr>
        <w:t xml:space="preserve"> </w:t>
      </w:r>
      <w:r w:rsidR="00985A08">
        <w:rPr>
          <w:sz w:val="24"/>
          <w:szCs w:val="24"/>
        </w:rPr>
        <w:t>that</w:t>
      </w:r>
      <w:r>
        <w:rPr>
          <w:sz w:val="24"/>
          <w:szCs w:val="24"/>
        </w:rPr>
        <w:t xml:space="preserve"> were either required or of high priority and that</w:t>
      </w:r>
      <w:r w:rsidR="00985A08">
        <w:rPr>
          <w:sz w:val="24"/>
          <w:szCs w:val="24"/>
        </w:rPr>
        <w:t xml:space="preserve"> involved WSCCR’s two AOC-funded researchers </w:t>
      </w:r>
      <w:r w:rsidR="00812545" w:rsidRPr="0077313B">
        <w:rPr>
          <w:sz w:val="24"/>
          <w:szCs w:val="24"/>
        </w:rPr>
        <w:t>have recently closed</w:t>
      </w:r>
      <w:r>
        <w:rPr>
          <w:sz w:val="24"/>
          <w:szCs w:val="24"/>
        </w:rPr>
        <w:t xml:space="preserve"> or</w:t>
      </w:r>
      <w:r w:rsidR="00985A08">
        <w:rPr>
          <w:sz w:val="24"/>
          <w:szCs w:val="24"/>
        </w:rPr>
        <w:t xml:space="preserve"> matured </w:t>
      </w:r>
      <w:r>
        <w:rPr>
          <w:sz w:val="24"/>
          <w:szCs w:val="24"/>
        </w:rPr>
        <w:t>so that</w:t>
      </w:r>
      <w:r w:rsidR="00985A08">
        <w:rPr>
          <w:sz w:val="24"/>
          <w:szCs w:val="24"/>
        </w:rPr>
        <w:t xml:space="preserve"> less staff time</w:t>
      </w:r>
      <w:r>
        <w:rPr>
          <w:sz w:val="24"/>
          <w:szCs w:val="24"/>
        </w:rPr>
        <w:t xml:space="preserve"> is required</w:t>
      </w:r>
      <w:r w:rsidR="00985A08">
        <w:rPr>
          <w:sz w:val="24"/>
          <w:szCs w:val="24"/>
        </w:rPr>
        <w:t>.</w:t>
      </w:r>
      <w:r>
        <w:rPr>
          <w:sz w:val="24"/>
          <w:szCs w:val="24"/>
        </w:rPr>
        <w:t xml:space="preserve"> The result is a </w:t>
      </w:r>
      <w:r w:rsidRPr="0097170C">
        <w:rPr>
          <w:b/>
          <w:sz w:val="24"/>
          <w:szCs w:val="24"/>
          <w:u w:val="single"/>
        </w:rPr>
        <w:t>staff availability of 0.65 FTE that can be assigned to new, high-priority research</w:t>
      </w:r>
      <w:r>
        <w:rPr>
          <w:sz w:val="24"/>
          <w:szCs w:val="24"/>
        </w:rPr>
        <w:t>.</w:t>
      </w:r>
    </w:p>
    <w:p w14:paraId="668A244B" w14:textId="6F8E99C3" w:rsidR="00985A08" w:rsidRPr="00985A08" w:rsidRDefault="0077313B" w:rsidP="00985A08">
      <w:pPr>
        <w:pStyle w:val="ListParagraph"/>
        <w:numPr>
          <w:ilvl w:val="0"/>
          <w:numId w:val="7"/>
        </w:numPr>
        <w:autoSpaceDE w:val="0"/>
        <w:autoSpaceDN w:val="0"/>
        <w:adjustRightInd w:val="0"/>
        <w:spacing w:after="0" w:line="240" w:lineRule="auto"/>
        <w:rPr>
          <w:rFonts w:cs="Times New Roman"/>
          <w:sz w:val="24"/>
          <w:szCs w:val="24"/>
        </w:rPr>
      </w:pPr>
      <w:r w:rsidRPr="00985A08">
        <w:rPr>
          <w:sz w:val="24"/>
          <w:szCs w:val="24"/>
        </w:rPr>
        <w:t xml:space="preserve">The legislative requirement to produce the </w:t>
      </w:r>
      <w:r w:rsidRPr="00985A08">
        <w:rPr>
          <w:rFonts w:eastAsia="Times New Roman" w:cs="Times New Roman"/>
          <w:b/>
          <w:sz w:val="24"/>
          <w:szCs w:val="24"/>
        </w:rPr>
        <w:t xml:space="preserve">Residential Time Summary Report </w:t>
      </w:r>
      <w:r w:rsidRPr="00985A08">
        <w:rPr>
          <w:rFonts w:eastAsia="Times New Roman" w:cs="Times New Roman"/>
          <w:sz w:val="24"/>
          <w:szCs w:val="24"/>
        </w:rPr>
        <w:t>was removed during the 2018 session.</w:t>
      </w:r>
      <w:r w:rsidR="00985A08">
        <w:rPr>
          <w:rFonts w:eastAsia="Times New Roman" w:cs="Times New Roman"/>
          <w:sz w:val="24"/>
          <w:szCs w:val="24"/>
        </w:rPr>
        <w:t xml:space="preserve"> Staff </w:t>
      </w:r>
      <w:r w:rsidR="0097170C">
        <w:rPr>
          <w:rFonts w:eastAsia="Times New Roman" w:cs="Times New Roman"/>
          <w:sz w:val="24"/>
          <w:szCs w:val="24"/>
        </w:rPr>
        <w:t xml:space="preserve">time </w:t>
      </w:r>
      <w:r w:rsidR="00985A08">
        <w:rPr>
          <w:rFonts w:eastAsia="Times New Roman" w:cs="Times New Roman"/>
          <w:sz w:val="24"/>
          <w:szCs w:val="24"/>
        </w:rPr>
        <w:t>available</w:t>
      </w:r>
      <w:r w:rsidR="0097170C">
        <w:rPr>
          <w:rFonts w:eastAsia="Times New Roman" w:cs="Times New Roman"/>
          <w:sz w:val="24"/>
          <w:szCs w:val="24"/>
        </w:rPr>
        <w:t>: 0.05</w:t>
      </w:r>
      <w:r w:rsidR="00985A08">
        <w:rPr>
          <w:rFonts w:eastAsia="Times New Roman" w:cs="Times New Roman"/>
          <w:sz w:val="24"/>
          <w:szCs w:val="24"/>
        </w:rPr>
        <w:t xml:space="preserve"> FTE.</w:t>
      </w:r>
      <w:r w:rsidRPr="00985A08">
        <w:rPr>
          <w:rFonts w:eastAsia="Times New Roman" w:cs="Times New Roman"/>
          <w:sz w:val="24"/>
          <w:szCs w:val="24"/>
        </w:rPr>
        <w:t xml:space="preserve"> </w:t>
      </w:r>
    </w:p>
    <w:p w14:paraId="232C6D8A" w14:textId="264346E6" w:rsidR="000F785B" w:rsidRDefault="00985A08" w:rsidP="00985A08">
      <w:pPr>
        <w:pStyle w:val="ListParagraph"/>
        <w:numPr>
          <w:ilvl w:val="0"/>
          <w:numId w:val="7"/>
        </w:numPr>
        <w:autoSpaceDE w:val="0"/>
        <w:autoSpaceDN w:val="0"/>
        <w:adjustRightInd w:val="0"/>
        <w:spacing w:after="0" w:line="240" w:lineRule="auto"/>
        <w:rPr>
          <w:rFonts w:cs="Times New Roman"/>
          <w:sz w:val="24"/>
          <w:szCs w:val="24"/>
        </w:rPr>
      </w:pPr>
      <w:r>
        <w:rPr>
          <w:rFonts w:eastAsia="Times New Roman" w:cs="Times New Roman"/>
          <w:sz w:val="24"/>
          <w:szCs w:val="24"/>
        </w:rPr>
        <w:t>T</w:t>
      </w:r>
      <w:r w:rsidR="0077313B" w:rsidRPr="00985A08">
        <w:rPr>
          <w:rFonts w:eastAsia="Times New Roman" w:cs="Times New Roman"/>
          <w:sz w:val="24"/>
          <w:szCs w:val="24"/>
        </w:rPr>
        <w:t>he influential</w:t>
      </w:r>
      <w:r>
        <w:rPr>
          <w:rFonts w:eastAsia="Times New Roman" w:cs="Times New Roman"/>
          <w:sz w:val="24"/>
          <w:szCs w:val="24"/>
        </w:rPr>
        <w:t>,</w:t>
      </w:r>
      <w:r w:rsidR="0077313B" w:rsidRPr="00985A08">
        <w:rPr>
          <w:rFonts w:eastAsia="Times New Roman" w:cs="Times New Roman"/>
          <w:sz w:val="24"/>
          <w:szCs w:val="24"/>
        </w:rPr>
        <w:t xml:space="preserve"> recurring</w:t>
      </w:r>
      <w:r w:rsidR="0097170C">
        <w:rPr>
          <w:rFonts w:eastAsia="Times New Roman" w:cs="Times New Roman"/>
          <w:sz w:val="24"/>
          <w:szCs w:val="24"/>
        </w:rPr>
        <w:t>, and high-priority</w:t>
      </w:r>
      <w:r w:rsidR="0077313B" w:rsidRPr="00985A08">
        <w:rPr>
          <w:rFonts w:eastAsia="Times New Roman" w:cs="Times New Roman"/>
          <w:sz w:val="24"/>
          <w:szCs w:val="24"/>
        </w:rPr>
        <w:t xml:space="preserve"> </w:t>
      </w:r>
      <w:r w:rsidR="0077313B" w:rsidRPr="00985A08">
        <w:rPr>
          <w:rFonts w:eastAsia="Times New Roman" w:cs="Times New Roman"/>
          <w:b/>
          <w:sz w:val="24"/>
          <w:szCs w:val="24"/>
        </w:rPr>
        <w:t xml:space="preserve">Evaluations of Juvenile Probation Evidence-Based Interventions, </w:t>
      </w:r>
      <w:r w:rsidR="0077313B" w:rsidRPr="00985A08">
        <w:rPr>
          <w:rFonts w:eastAsia="Times New Roman" w:cs="Times New Roman"/>
          <w:sz w:val="24"/>
          <w:szCs w:val="24"/>
        </w:rPr>
        <w:t>were taken over by the Washington State Institute for Public Policy</w:t>
      </w:r>
      <w:r w:rsidR="00742DA9" w:rsidRPr="00985A08">
        <w:rPr>
          <w:rFonts w:eastAsia="Times New Roman" w:cs="Times New Roman"/>
          <w:sz w:val="24"/>
          <w:szCs w:val="24"/>
        </w:rPr>
        <w:t xml:space="preserve"> in 2018</w:t>
      </w:r>
      <w:r w:rsidR="0077313B" w:rsidRPr="00985A08">
        <w:rPr>
          <w:rFonts w:eastAsia="Times New Roman" w:cs="Times New Roman"/>
          <w:sz w:val="24"/>
          <w:szCs w:val="24"/>
        </w:rPr>
        <w:t>.</w:t>
      </w:r>
      <w:r w:rsidR="0077313B" w:rsidRPr="00985A08">
        <w:rPr>
          <w:rFonts w:cs="Times New Roman"/>
          <w:sz w:val="24"/>
          <w:szCs w:val="24"/>
        </w:rPr>
        <w:t xml:space="preserve"> </w:t>
      </w:r>
      <w:r>
        <w:rPr>
          <w:rFonts w:cs="Times New Roman"/>
          <w:sz w:val="24"/>
          <w:szCs w:val="24"/>
        </w:rPr>
        <w:t>Staff</w:t>
      </w:r>
      <w:r w:rsidR="0097170C">
        <w:rPr>
          <w:rFonts w:cs="Times New Roman"/>
          <w:sz w:val="24"/>
          <w:szCs w:val="24"/>
        </w:rPr>
        <w:t xml:space="preserve"> time</w:t>
      </w:r>
      <w:r>
        <w:rPr>
          <w:rFonts w:cs="Times New Roman"/>
          <w:sz w:val="24"/>
          <w:szCs w:val="24"/>
        </w:rPr>
        <w:t xml:space="preserve"> available: 0.5 FTE.</w:t>
      </w:r>
    </w:p>
    <w:p w14:paraId="6134E949" w14:textId="76674A62" w:rsidR="00985A08" w:rsidRPr="00985A08" w:rsidRDefault="0097170C" w:rsidP="008374A3">
      <w:pPr>
        <w:pStyle w:val="ListParagraph"/>
        <w:numPr>
          <w:ilvl w:val="0"/>
          <w:numId w:val="7"/>
        </w:numPr>
        <w:autoSpaceDE w:val="0"/>
        <w:autoSpaceDN w:val="0"/>
        <w:adjustRightInd w:val="0"/>
        <w:spacing w:after="120" w:line="240" w:lineRule="auto"/>
        <w:rPr>
          <w:rFonts w:cs="Times New Roman"/>
          <w:sz w:val="24"/>
          <w:szCs w:val="24"/>
        </w:rPr>
      </w:pPr>
      <w:r>
        <w:rPr>
          <w:rFonts w:cs="Times New Roman"/>
          <w:sz w:val="24"/>
          <w:szCs w:val="24"/>
        </w:rPr>
        <w:t>Aspects</w:t>
      </w:r>
      <w:r w:rsidR="00985A08">
        <w:rPr>
          <w:rFonts w:cs="Times New Roman"/>
          <w:sz w:val="24"/>
          <w:szCs w:val="24"/>
        </w:rPr>
        <w:t xml:space="preserve"> of </w:t>
      </w:r>
      <w:r w:rsidR="00985A08" w:rsidRPr="0097170C">
        <w:rPr>
          <w:rFonts w:cs="Times New Roman"/>
          <w:b/>
          <w:sz w:val="24"/>
          <w:szCs w:val="24"/>
        </w:rPr>
        <w:t>Recidivism Analysis and Reporting</w:t>
      </w:r>
      <w:r w:rsidR="00985A08">
        <w:rPr>
          <w:rFonts w:cs="Times New Roman"/>
          <w:sz w:val="24"/>
          <w:szCs w:val="24"/>
        </w:rPr>
        <w:t xml:space="preserve"> have matured from development to routine. Staff </w:t>
      </w:r>
      <w:r>
        <w:rPr>
          <w:rFonts w:cs="Times New Roman"/>
          <w:sz w:val="24"/>
          <w:szCs w:val="24"/>
        </w:rPr>
        <w:t xml:space="preserve">time </w:t>
      </w:r>
      <w:r w:rsidR="00985A08">
        <w:rPr>
          <w:rFonts w:cs="Times New Roman"/>
          <w:sz w:val="24"/>
          <w:szCs w:val="24"/>
        </w:rPr>
        <w:t>available: 0.1 FTE</w:t>
      </w:r>
      <w:r>
        <w:rPr>
          <w:rFonts w:cs="Times New Roman"/>
          <w:sz w:val="24"/>
          <w:szCs w:val="24"/>
        </w:rPr>
        <w:t>.</w:t>
      </w:r>
    </w:p>
    <w:p w14:paraId="23224493" w14:textId="34305354" w:rsidR="003363D4" w:rsidRDefault="00951707" w:rsidP="0097170C">
      <w:pPr>
        <w:pStyle w:val="Heading2"/>
        <w:rPr>
          <w:rFonts w:eastAsia="Times New Roman"/>
          <w:color w:val="auto"/>
        </w:rPr>
      </w:pPr>
      <w:r>
        <w:rPr>
          <w:rFonts w:eastAsia="Times New Roman"/>
          <w:color w:val="auto"/>
        </w:rPr>
        <w:t>Pending</w:t>
      </w:r>
      <w:r w:rsidR="00D058F6">
        <w:rPr>
          <w:rFonts w:eastAsia="Times New Roman"/>
          <w:color w:val="auto"/>
        </w:rPr>
        <w:t xml:space="preserve"> </w:t>
      </w:r>
      <w:r w:rsidR="003363D4" w:rsidRPr="00CD1B1C">
        <w:rPr>
          <w:rFonts w:eastAsia="Times New Roman"/>
          <w:color w:val="auto"/>
        </w:rPr>
        <w:t>Research</w:t>
      </w:r>
    </w:p>
    <w:p w14:paraId="56DA06D0" w14:textId="5F6E0D2A" w:rsidR="008374A3" w:rsidRDefault="003363D4" w:rsidP="003363D4">
      <w:pPr>
        <w:pStyle w:val="ListParagraph"/>
        <w:numPr>
          <w:ilvl w:val="0"/>
          <w:numId w:val="4"/>
        </w:numPr>
        <w:rPr>
          <w:sz w:val="24"/>
          <w:szCs w:val="24"/>
        </w:rPr>
      </w:pPr>
      <w:r w:rsidRPr="005D71DB">
        <w:rPr>
          <w:b/>
          <w:sz w:val="24"/>
          <w:szCs w:val="24"/>
        </w:rPr>
        <w:t>Racial and Ethnic Disparity</w:t>
      </w:r>
      <w:r w:rsidRPr="005D71DB">
        <w:rPr>
          <w:sz w:val="24"/>
          <w:szCs w:val="24"/>
        </w:rPr>
        <w:t xml:space="preserve">: </w:t>
      </w:r>
      <w:r w:rsidR="003107A7" w:rsidRPr="003107A7">
        <w:rPr>
          <w:sz w:val="24"/>
          <w:szCs w:val="24"/>
        </w:rPr>
        <w:t xml:space="preserve">WSCCR has neither updated the 2012 Juvenile Court results nor expanded analysis and reporting to include </w:t>
      </w:r>
      <w:r w:rsidR="003107A7">
        <w:rPr>
          <w:sz w:val="24"/>
          <w:szCs w:val="24"/>
        </w:rPr>
        <w:t xml:space="preserve">dependency or </w:t>
      </w:r>
      <w:r w:rsidR="003107A7" w:rsidRPr="003107A7">
        <w:rPr>
          <w:sz w:val="24"/>
          <w:szCs w:val="24"/>
        </w:rPr>
        <w:t>any part of adult criminal case processing</w:t>
      </w:r>
      <w:r w:rsidR="003107A7">
        <w:rPr>
          <w:sz w:val="24"/>
          <w:szCs w:val="24"/>
        </w:rPr>
        <w:t>.</w:t>
      </w:r>
    </w:p>
    <w:p w14:paraId="2571BCB6" w14:textId="2DF6E253" w:rsidR="008374A3" w:rsidRPr="008374A3" w:rsidRDefault="008374A3" w:rsidP="008374A3">
      <w:pPr>
        <w:pStyle w:val="ListParagraph"/>
        <w:numPr>
          <w:ilvl w:val="1"/>
          <w:numId w:val="4"/>
        </w:numPr>
        <w:rPr>
          <w:sz w:val="24"/>
          <w:szCs w:val="24"/>
        </w:rPr>
      </w:pPr>
      <w:r>
        <w:rPr>
          <w:sz w:val="24"/>
          <w:szCs w:val="24"/>
        </w:rPr>
        <w:t>Justification: 2011 BJA Resolution, item (4) “Measure and evaluate progress in addressing…”</w:t>
      </w:r>
    </w:p>
    <w:p w14:paraId="74AD917E" w14:textId="0DD963FE" w:rsidR="003363D4" w:rsidRPr="0099597E" w:rsidRDefault="003107A7" w:rsidP="003107A7">
      <w:pPr>
        <w:pStyle w:val="ListParagraph"/>
        <w:numPr>
          <w:ilvl w:val="1"/>
          <w:numId w:val="4"/>
        </w:numPr>
        <w:spacing w:after="0" w:line="240" w:lineRule="auto"/>
        <w:contextualSpacing w:val="0"/>
        <w:rPr>
          <w:b/>
          <w:sz w:val="24"/>
          <w:szCs w:val="24"/>
          <w:u w:val="single"/>
        </w:rPr>
      </w:pPr>
      <w:r w:rsidRPr="003107A7">
        <w:rPr>
          <w:sz w:val="24"/>
          <w:szCs w:val="24"/>
        </w:rPr>
        <w:t xml:space="preserve">Staff </w:t>
      </w:r>
      <w:r w:rsidR="00193FCA">
        <w:rPr>
          <w:sz w:val="24"/>
          <w:szCs w:val="24"/>
        </w:rPr>
        <w:t>estimate</w:t>
      </w:r>
      <w:r w:rsidRPr="003107A7">
        <w:rPr>
          <w:sz w:val="24"/>
          <w:szCs w:val="24"/>
        </w:rPr>
        <w:t xml:space="preserve">: </w:t>
      </w:r>
      <w:r w:rsidR="00193FCA">
        <w:rPr>
          <w:sz w:val="24"/>
          <w:szCs w:val="24"/>
        </w:rPr>
        <w:t>First year</w:t>
      </w:r>
      <w:r w:rsidRPr="003107A7">
        <w:rPr>
          <w:sz w:val="24"/>
          <w:szCs w:val="24"/>
        </w:rPr>
        <w:t xml:space="preserve"> </w:t>
      </w:r>
      <w:r w:rsidR="00CA04A7">
        <w:rPr>
          <w:sz w:val="24"/>
          <w:szCs w:val="24"/>
        </w:rPr>
        <w:t xml:space="preserve">activities will include </w:t>
      </w:r>
      <w:r w:rsidRPr="003107A7">
        <w:rPr>
          <w:sz w:val="24"/>
          <w:szCs w:val="24"/>
        </w:rPr>
        <w:t>conferring with stakeholders,</w:t>
      </w:r>
      <w:r w:rsidR="00CA04A7">
        <w:rPr>
          <w:sz w:val="24"/>
          <w:szCs w:val="24"/>
        </w:rPr>
        <w:t xml:space="preserve"> development and testing of analysis and reporting modes, identification of data gaps, and outreach to courts, jails, and law enforcement to close the gaps. The first year will also see development of communication plans and dissemination of results. The second year will continue to require substantial work related to data development, and each year will require engagement with stakeholders. </w:t>
      </w:r>
      <w:r w:rsidRPr="003107A7">
        <w:rPr>
          <w:sz w:val="24"/>
          <w:szCs w:val="24"/>
        </w:rPr>
        <w:t xml:space="preserve"> </w:t>
      </w:r>
      <w:r w:rsidRPr="0099597E">
        <w:rPr>
          <w:b/>
          <w:sz w:val="24"/>
          <w:szCs w:val="24"/>
          <w:u w:val="single"/>
        </w:rPr>
        <w:t>First year staffing of 0.</w:t>
      </w:r>
      <w:r w:rsidR="00CA04A7" w:rsidRPr="0099597E">
        <w:rPr>
          <w:b/>
          <w:sz w:val="24"/>
          <w:szCs w:val="24"/>
          <w:u w:val="single"/>
        </w:rPr>
        <w:t>65</w:t>
      </w:r>
      <w:r w:rsidRPr="0099597E">
        <w:rPr>
          <w:b/>
          <w:sz w:val="24"/>
          <w:szCs w:val="24"/>
          <w:u w:val="single"/>
        </w:rPr>
        <w:t xml:space="preserve"> FTE, </w:t>
      </w:r>
      <w:r w:rsidR="00CA04A7" w:rsidRPr="0099597E">
        <w:rPr>
          <w:b/>
          <w:sz w:val="24"/>
          <w:szCs w:val="24"/>
          <w:u w:val="single"/>
        </w:rPr>
        <w:t xml:space="preserve">second year 0.4 FTE, </w:t>
      </w:r>
      <w:r w:rsidRPr="0099597E">
        <w:rPr>
          <w:b/>
          <w:sz w:val="24"/>
          <w:szCs w:val="24"/>
          <w:u w:val="single"/>
        </w:rPr>
        <w:t>following years 0.25 FTE</w:t>
      </w:r>
      <w:r w:rsidR="00CA04A7" w:rsidRPr="0099597E">
        <w:rPr>
          <w:b/>
          <w:sz w:val="24"/>
          <w:szCs w:val="24"/>
          <w:u w:val="single"/>
        </w:rPr>
        <w:t>.</w:t>
      </w:r>
    </w:p>
    <w:p w14:paraId="2A71A0E9" w14:textId="6E652C23" w:rsidR="008374A3" w:rsidRPr="008374A3" w:rsidRDefault="003C6C95" w:rsidP="009A4841">
      <w:pPr>
        <w:pStyle w:val="ListParagraph"/>
        <w:numPr>
          <w:ilvl w:val="0"/>
          <w:numId w:val="4"/>
        </w:numPr>
      </w:pPr>
      <w:r>
        <w:rPr>
          <w:b/>
          <w:sz w:val="24"/>
          <w:szCs w:val="24"/>
        </w:rPr>
        <w:t>Therapeutic</w:t>
      </w:r>
      <w:r w:rsidR="003363D4" w:rsidRPr="005D71DB">
        <w:rPr>
          <w:b/>
          <w:sz w:val="24"/>
          <w:szCs w:val="24"/>
        </w:rPr>
        <w:t xml:space="preserve"> Courts:</w:t>
      </w:r>
      <w:r w:rsidR="003363D4" w:rsidRPr="005D71DB">
        <w:rPr>
          <w:sz w:val="24"/>
          <w:szCs w:val="24"/>
        </w:rPr>
        <w:t xml:space="preserve"> </w:t>
      </w:r>
      <w:r w:rsidR="00193FCA" w:rsidRPr="00193FCA">
        <w:rPr>
          <w:sz w:val="24"/>
          <w:szCs w:val="24"/>
        </w:rPr>
        <w:t xml:space="preserve">There are at least 83 treatment courts operating in Washington State, and the number is likely to increase as more jurisdictions implement courts funded by the 0.1% local option sales tax.  </w:t>
      </w:r>
      <w:r>
        <w:rPr>
          <w:sz w:val="24"/>
          <w:szCs w:val="24"/>
        </w:rPr>
        <w:t>Evidence-based effective practices have been developed for adult drug courts, and experience with other forms of therapeutic courts is leading to similar development of practices for them. Therapeutic courts, their clients, and the public need to know whether effective practices are being used and whether individual courts are contributing to reductions in offending through their efforts.</w:t>
      </w:r>
    </w:p>
    <w:p w14:paraId="2436B0C7" w14:textId="09676BCD" w:rsidR="008374A3" w:rsidRPr="00193FCA" w:rsidRDefault="008374A3" w:rsidP="008374A3">
      <w:pPr>
        <w:pStyle w:val="ListParagraph"/>
        <w:numPr>
          <w:ilvl w:val="1"/>
          <w:numId w:val="4"/>
        </w:numPr>
        <w:rPr>
          <w:sz w:val="24"/>
          <w:szCs w:val="24"/>
        </w:rPr>
      </w:pPr>
      <w:r w:rsidRPr="00193FCA">
        <w:rPr>
          <w:sz w:val="24"/>
          <w:szCs w:val="24"/>
        </w:rPr>
        <w:t>Justification: 2012 BJA Resolution, item (3) “development, identification, and adoption of best practices,” and item (4), “collection of data through the Washington State Center for Court Research on Drug Courts and Other Problem-Solving Courts to evaluate and monitor outcomes and performance.”</w:t>
      </w:r>
    </w:p>
    <w:p w14:paraId="271221DD" w14:textId="3BC0A3BE" w:rsidR="00294313" w:rsidRDefault="003107A7" w:rsidP="00294313">
      <w:pPr>
        <w:pStyle w:val="ListParagraph"/>
        <w:numPr>
          <w:ilvl w:val="1"/>
          <w:numId w:val="4"/>
        </w:numPr>
        <w:rPr>
          <w:sz w:val="24"/>
          <w:szCs w:val="24"/>
        </w:rPr>
      </w:pPr>
      <w:r w:rsidRPr="00193FCA">
        <w:rPr>
          <w:sz w:val="24"/>
          <w:szCs w:val="24"/>
        </w:rPr>
        <w:t xml:space="preserve">Staff estimate: </w:t>
      </w:r>
      <w:r w:rsidR="00294313">
        <w:rPr>
          <w:sz w:val="24"/>
          <w:szCs w:val="24"/>
        </w:rPr>
        <w:t xml:space="preserve">The number and diversity of therapeutic courts in Washington and the amount of work needed to engage with them all will require </w:t>
      </w:r>
      <w:r w:rsidR="0099597E">
        <w:rPr>
          <w:sz w:val="24"/>
          <w:szCs w:val="24"/>
        </w:rPr>
        <w:t>a phased approach</w:t>
      </w:r>
      <w:r w:rsidR="00294313">
        <w:rPr>
          <w:sz w:val="24"/>
          <w:szCs w:val="24"/>
        </w:rPr>
        <w:t xml:space="preserve">. </w:t>
      </w:r>
      <w:r w:rsidR="0099597E">
        <w:rPr>
          <w:sz w:val="24"/>
          <w:szCs w:val="24"/>
        </w:rPr>
        <w:t xml:space="preserve">The easiest place to start would be where work has already begun, with adult drug courts. But even there, the </w:t>
      </w:r>
      <w:r w:rsidR="0099597E" w:rsidRPr="0099597E">
        <w:rPr>
          <w:b/>
          <w:sz w:val="24"/>
          <w:szCs w:val="24"/>
          <w:u w:val="single"/>
        </w:rPr>
        <w:t xml:space="preserve">staffing required would be </w:t>
      </w:r>
      <w:r w:rsidR="0099597E">
        <w:rPr>
          <w:b/>
          <w:sz w:val="24"/>
          <w:szCs w:val="24"/>
          <w:u w:val="single"/>
        </w:rPr>
        <w:t xml:space="preserve">at least </w:t>
      </w:r>
      <w:r w:rsidR="0099597E" w:rsidRPr="0099597E">
        <w:rPr>
          <w:b/>
          <w:sz w:val="24"/>
          <w:szCs w:val="24"/>
          <w:u w:val="single"/>
        </w:rPr>
        <w:lastRenderedPageBreak/>
        <w:t>0.5 FTE for at least the first three years.</w:t>
      </w:r>
      <w:r w:rsidR="0099597E">
        <w:rPr>
          <w:sz w:val="24"/>
          <w:szCs w:val="24"/>
        </w:rPr>
        <w:t xml:space="preserve"> </w:t>
      </w:r>
      <w:r w:rsidR="00294313">
        <w:rPr>
          <w:sz w:val="24"/>
          <w:szCs w:val="24"/>
        </w:rPr>
        <w:t xml:space="preserve">There are four major components of the work: </w:t>
      </w:r>
    </w:p>
    <w:p w14:paraId="19155C26" w14:textId="77777777" w:rsidR="00294313" w:rsidRDefault="00294313" w:rsidP="00294313">
      <w:pPr>
        <w:pStyle w:val="ListParagraph"/>
        <w:numPr>
          <w:ilvl w:val="2"/>
          <w:numId w:val="9"/>
        </w:numPr>
        <w:rPr>
          <w:sz w:val="24"/>
          <w:szCs w:val="24"/>
        </w:rPr>
      </w:pPr>
      <w:r>
        <w:rPr>
          <w:sz w:val="24"/>
          <w:szCs w:val="24"/>
        </w:rPr>
        <w:t xml:space="preserve">Data development: </w:t>
      </w:r>
      <w:r w:rsidRPr="00294313">
        <w:rPr>
          <w:sz w:val="24"/>
          <w:szCs w:val="24"/>
        </w:rPr>
        <w:t xml:space="preserve">WSCCR has developed data for only one type of therapeutic court—adult drug courts—and even there the data omits important information about screening clients, treatment, and use of sanctions and incentives. </w:t>
      </w:r>
    </w:p>
    <w:p w14:paraId="23CA8958" w14:textId="4D06BF35" w:rsidR="00294313" w:rsidRDefault="00294313" w:rsidP="00294313">
      <w:pPr>
        <w:pStyle w:val="ListParagraph"/>
        <w:numPr>
          <w:ilvl w:val="2"/>
          <w:numId w:val="9"/>
        </w:numPr>
        <w:rPr>
          <w:sz w:val="24"/>
          <w:szCs w:val="24"/>
        </w:rPr>
      </w:pPr>
      <w:r>
        <w:rPr>
          <w:sz w:val="24"/>
          <w:szCs w:val="24"/>
        </w:rPr>
        <w:t>Recommendations</w:t>
      </w:r>
      <w:r w:rsidR="0099597E">
        <w:rPr>
          <w:sz w:val="24"/>
          <w:szCs w:val="24"/>
        </w:rPr>
        <w:t xml:space="preserve"> for research-based practice: these are well-developed for drug courts only, not for veterans’ courts, mental health courts, juvenile drug courts, or others.</w:t>
      </w:r>
    </w:p>
    <w:p w14:paraId="164B215F" w14:textId="77777777" w:rsidR="0099597E" w:rsidRDefault="0099597E" w:rsidP="00294313">
      <w:pPr>
        <w:pStyle w:val="ListParagraph"/>
        <w:numPr>
          <w:ilvl w:val="2"/>
          <w:numId w:val="9"/>
        </w:numPr>
        <w:rPr>
          <w:sz w:val="24"/>
          <w:szCs w:val="24"/>
        </w:rPr>
      </w:pPr>
      <w:r>
        <w:rPr>
          <w:sz w:val="24"/>
          <w:szCs w:val="24"/>
        </w:rPr>
        <w:t xml:space="preserve">Assessing and providing feedback on program implementation: Site visits to all adult drug courts in 2014 and 2015 showed major departures from recommended practice in several courts. </w:t>
      </w:r>
    </w:p>
    <w:p w14:paraId="40DF2E79" w14:textId="0EB7CA94" w:rsidR="0099597E" w:rsidRDefault="0099597E" w:rsidP="00294313">
      <w:pPr>
        <w:pStyle w:val="ListParagraph"/>
        <w:numPr>
          <w:ilvl w:val="2"/>
          <w:numId w:val="9"/>
        </w:numPr>
        <w:rPr>
          <w:sz w:val="24"/>
          <w:szCs w:val="24"/>
        </w:rPr>
      </w:pPr>
      <w:r>
        <w:rPr>
          <w:sz w:val="24"/>
          <w:szCs w:val="24"/>
        </w:rPr>
        <w:t xml:space="preserve">Reporting and engaging: A key factor affecting whether information is actually used is whether affected staff and managers are enlisted in a co-design process. </w:t>
      </w:r>
    </w:p>
    <w:p w14:paraId="0A02BEF9" w14:textId="77777777" w:rsidR="00193FCA" w:rsidRDefault="00193FCA" w:rsidP="00193FCA">
      <w:pPr>
        <w:pStyle w:val="ListParagraph"/>
        <w:numPr>
          <w:ilvl w:val="0"/>
          <w:numId w:val="4"/>
        </w:numPr>
        <w:rPr>
          <w:sz w:val="24"/>
          <w:szCs w:val="24"/>
        </w:rPr>
      </w:pPr>
      <w:r>
        <w:rPr>
          <w:b/>
          <w:sz w:val="24"/>
          <w:szCs w:val="24"/>
        </w:rPr>
        <w:t>Pretrial Analysis and Reporting</w:t>
      </w:r>
      <w:r w:rsidRPr="005D71DB">
        <w:rPr>
          <w:b/>
          <w:sz w:val="24"/>
          <w:szCs w:val="24"/>
        </w:rPr>
        <w:t>:</w:t>
      </w:r>
      <w:r w:rsidRPr="005D71DB">
        <w:rPr>
          <w:sz w:val="24"/>
          <w:szCs w:val="24"/>
        </w:rPr>
        <w:t xml:space="preserve"> </w:t>
      </w:r>
      <w:r>
        <w:rPr>
          <w:sz w:val="24"/>
          <w:szCs w:val="24"/>
        </w:rPr>
        <w:t>Data development, collection,</w:t>
      </w:r>
      <w:r w:rsidRPr="005D71DB">
        <w:rPr>
          <w:sz w:val="24"/>
          <w:szCs w:val="24"/>
        </w:rPr>
        <w:t xml:space="preserve"> analysis, and reporting are required so that stakeholders</w:t>
      </w:r>
      <w:r>
        <w:rPr>
          <w:sz w:val="24"/>
          <w:szCs w:val="24"/>
        </w:rPr>
        <w:t>, administrators, and staff</w:t>
      </w:r>
      <w:r w:rsidRPr="005D71DB">
        <w:rPr>
          <w:sz w:val="24"/>
          <w:szCs w:val="24"/>
        </w:rPr>
        <w:t xml:space="preserve"> can </w:t>
      </w:r>
      <w:r>
        <w:rPr>
          <w:sz w:val="24"/>
          <w:szCs w:val="24"/>
        </w:rPr>
        <w:t>understand operations and outcomes for pretrial and so that courts will be able to attempt incremental improvements and to see the results of attempts</w:t>
      </w:r>
      <w:r w:rsidRPr="005D71DB">
        <w:rPr>
          <w:sz w:val="24"/>
          <w:szCs w:val="24"/>
        </w:rPr>
        <w:t>.</w:t>
      </w:r>
      <w:r>
        <w:rPr>
          <w:sz w:val="24"/>
          <w:szCs w:val="24"/>
        </w:rPr>
        <w:t xml:space="preserve"> Although courts should be encouraged to adopt validated pre-trial screening instruments and to review local policies on the use of bail, we lack the data from pre-trail decisions to be able to assess operations for any court.</w:t>
      </w:r>
    </w:p>
    <w:p w14:paraId="2664FA46" w14:textId="77777777" w:rsidR="00193FCA" w:rsidRPr="00B4248C" w:rsidRDefault="00193FCA" w:rsidP="00193FCA">
      <w:pPr>
        <w:pStyle w:val="ListParagraph"/>
        <w:numPr>
          <w:ilvl w:val="1"/>
          <w:numId w:val="4"/>
        </w:numPr>
        <w:spacing w:after="0" w:line="240" w:lineRule="auto"/>
        <w:contextualSpacing w:val="0"/>
        <w:rPr>
          <w:sz w:val="24"/>
          <w:szCs w:val="24"/>
        </w:rPr>
      </w:pPr>
      <w:r w:rsidRPr="00B4248C">
        <w:rPr>
          <w:sz w:val="24"/>
          <w:szCs w:val="24"/>
        </w:rPr>
        <w:t xml:space="preserve">Justification: There is steadily increasing attention and effort devoted to pretrial reform. </w:t>
      </w:r>
      <w:r>
        <w:rPr>
          <w:sz w:val="24"/>
          <w:szCs w:val="24"/>
        </w:rPr>
        <w:t>N</w:t>
      </w:r>
      <w:r w:rsidRPr="00B4248C">
        <w:rPr>
          <w:sz w:val="24"/>
          <w:szCs w:val="24"/>
        </w:rPr>
        <w:t>ational policy direction</w:t>
      </w:r>
      <w:r>
        <w:rPr>
          <w:sz w:val="24"/>
          <w:szCs w:val="24"/>
        </w:rPr>
        <w:t xml:space="preserve"> expected this summer (</w:t>
      </w:r>
      <w:r w:rsidRPr="00B4248C">
        <w:rPr>
          <w:sz w:val="24"/>
          <w:szCs w:val="24"/>
        </w:rPr>
        <w:t>from the National Center for State Courts / Conference of State Court Administrators / Conference of Chief Justices</w:t>
      </w:r>
      <w:r>
        <w:rPr>
          <w:sz w:val="24"/>
          <w:szCs w:val="24"/>
        </w:rPr>
        <w:t>) and Pre-Trial</w:t>
      </w:r>
      <w:r w:rsidRPr="00B4248C">
        <w:rPr>
          <w:sz w:val="24"/>
          <w:szCs w:val="24"/>
        </w:rPr>
        <w:t xml:space="preserve"> Task Force recommendations scheduled to follow in the fall will likely lead to changes in policies and procedures. The Judiciary should provide </w:t>
      </w:r>
      <w:r>
        <w:rPr>
          <w:sz w:val="24"/>
          <w:szCs w:val="24"/>
        </w:rPr>
        <w:t xml:space="preserve">measurement, reporting and engagement in support of </w:t>
      </w:r>
      <w:r w:rsidRPr="00B4248C">
        <w:rPr>
          <w:sz w:val="24"/>
          <w:szCs w:val="24"/>
        </w:rPr>
        <w:t xml:space="preserve">pretrial </w:t>
      </w:r>
      <w:r>
        <w:rPr>
          <w:sz w:val="24"/>
          <w:szCs w:val="24"/>
        </w:rPr>
        <w:t>accountability and improvement.</w:t>
      </w:r>
    </w:p>
    <w:p w14:paraId="02D44871" w14:textId="2530D3F4" w:rsidR="00514484" w:rsidRPr="0099597E" w:rsidRDefault="00CA04A7" w:rsidP="00193FCA">
      <w:pPr>
        <w:pStyle w:val="ListParagraph"/>
        <w:numPr>
          <w:ilvl w:val="1"/>
          <w:numId w:val="4"/>
        </w:numPr>
        <w:spacing w:after="0" w:line="240" w:lineRule="auto"/>
        <w:contextualSpacing w:val="0"/>
        <w:rPr>
          <w:b/>
          <w:u w:val="single"/>
        </w:rPr>
      </w:pPr>
      <w:r>
        <w:rPr>
          <w:sz w:val="24"/>
          <w:szCs w:val="24"/>
        </w:rPr>
        <w:t xml:space="preserve">Staff estimate: </w:t>
      </w:r>
      <w:r w:rsidR="00514484">
        <w:rPr>
          <w:sz w:val="24"/>
          <w:szCs w:val="24"/>
        </w:rPr>
        <w:t>First year w</w:t>
      </w:r>
      <w:r w:rsidR="00193FCA">
        <w:rPr>
          <w:sz w:val="24"/>
          <w:szCs w:val="24"/>
        </w:rPr>
        <w:t>ork</w:t>
      </w:r>
      <w:r w:rsidR="00193FCA" w:rsidRPr="00B4248C">
        <w:rPr>
          <w:sz w:val="24"/>
          <w:szCs w:val="24"/>
        </w:rPr>
        <w:t xml:space="preserve"> will include </w:t>
      </w:r>
      <w:r w:rsidR="00294313">
        <w:rPr>
          <w:sz w:val="24"/>
          <w:szCs w:val="24"/>
        </w:rPr>
        <w:t xml:space="preserve">conferring with stakeholders, </w:t>
      </w:r>
      <w:r w:rsidR="00193FCA" w:rsidRPr="00B4248C">
        <w:rPr>
          <w:sz w:val="24"/>
          <w:szCs w:val="24"/>
        </w:rPr>
        <w:t>develop</w:t>
      </w:r>
      <w:r w:rsidR="00193FCA">
        <w:rPr>
          <w:sz w:val="24"/>
          <w:szCs w:val="24"/>
        </w:rPr>
        <w:t xml:space="preserve">ing </w:t>
      </w:r>
      <w:r w:rsidR="00294313">
        <w:rPr>
          <w:sz w:val="24"/>
          <w:szCs w:val="24"/>
        </w:rPr>
        <w:t>standards for risk screener</w:t>
      </w:r>
      <w:r w:rsidR="00193FCA">
        <w:rPr>
          <w:sz w:val="24"/>
          <w:szCs w:val="24"/>
        </w:rPr>
        <w:t>s</w:t>
      </w:r>
      <w:r w:rsidR="00294313">
        <w:rPr>
          <w:sz w:val="24"/>
          <w:szCs w:val="24"/>
        </w:rPr>
        <w:t>’ to have comparable risk levels</w:t>
      </w:r>
      <w:r w:rsidR="00514484">
        <w:rPr>
          <w:sz w:val="24"/>
          <w:szCs w:val="24"/>
        </w:rPr>
        <w:t xml:space="preserve">, identification of data gaps and working with </w:t>
      </w:r>
      <w:r w:rsidR="00B3715A">
        <w:rPr>
          <w:sz w:val="24"/>
          <w:szCs w:val="24"/>
        </w:rPr>
        <w:t>pretrial</w:t>
      </w:r>
      <w:r w:rsidR="00514484">
        <w:rPr>
          <w:sz w:val="24"/>
          <w:szCs w:val="24"/>
        </w:rPr>
        <w:t xml:space="preserve"> units/ court</w:t>
      </w:r>
      <w:bookmarkStart w:id="0" w:name="_GoBack"/>
      <w:bookmarkEnd w:id="0"/>
      <w:r w:rsidR="00514484">
        <w:rPr>
          <w:sz w:val="24"/>
          <w:szCs w:val="24"/>
        </w:rPr>
        <w:t>s and jails on data development,</w:t>
      </w:r>
      <w:r w:rsidR="00193FCA">
        <w:rPr>
          <w:sz w:val="24"/>
          <w:szCs w:val="24"/>
        </w:rPr>
        <w:t xml:space="preserve"> </w:t>
      </w:r>
      <w:r w:rsidR="00294313">
        <w:rPr>
          <w:sz w:val="24"/>
          <w:szCs w:val="24"/>
        </w:rPr>
        <w:t>co-</w:t>
      </w:r>
      <w:r w:rsidR="00514484">
        <w:rPr>
          <w:sz w:val="24"/>
          <w:szCs w:val="24"/>
        </w:rPr>
        <w:t>design of measures and reporting</w:t>
      </w:r>
      <w:r w:rsidR="00294313">
        <w:rPr>
          <w:sz w:val="24"/>
          <w:szCs w:val="24"/>
        </w:rPr>
        <w:t xml:space="preserve"> with the courts</w:t>
      </w:r>
      <w:r w:rsidR="00514484">
        <w:rPr>
          <w:sz w:val="24"/>
          <w:szCs w:val="24"/>
        </w:rPr>
        <w:t>, and supporting courts in the use of results for review of process and outcomes and for development of attempts at improvement. The second year will also require substantial effort with data development</w:t>
      </w:r>
      <w:r w:rsidR="00514484" w:rsidRPr="0099597E">
        <w:rPr>
          <w:b/>
          <w:sz w:val="24"/>
          <w:szCs w:val="24"/>
          <w:u w:val="single"/>
        </w:rPr>
        <w:t xml:space="preserve">. First year staffing: 0.65 FTE, second year 0.65 FTE, following years 0.3 FTE. </w:t>
      </w:r>
    </w:p>
    <w:p w14:paraId="0AE22287" w14:textId="77777777" w:rsidR="00193FCA" w:rsidRPr="00193FCA" w:rsidRDefault="00193FCA" w:rsidP="00193FCA">
      <w:pPr>
        <w:spacing w:after="0" w:line="240" w:lineRule="auto"/>
        <w:rPr>
          <w:sz w:val="24"/>
          <w:szCs w:val="24"/>
        </w:rPr>
      </w:pPr>
    </w:p>
    <w:p w14:paraId="46819068" w14:textId="77777777" w:rsidR="003363D4" w:rsidRPr="003363D4" w:rsidRDefault="003363D4" w:rsidP="003363D4">
      <w:pPr>
        <w:autoSpaceDE w:val="0"/>
        <w:autoSpaceDN w:val="0"/>
        <w:adjustRightInd w:val="0"/>
        <w:spacing w:after="0" w:line="240" w:lineRule="auto"/>
        <w:ind w:left="720"/>
        <w:contextualSpacing/>
        <w:rPr>
          <w:rFonts w:eastAsia="Times New Roman" w:cs="Times New Roman"/>
          <w:sz w:val="24"/>
          <w:szCs w:val="24"/>
        </w:rPr>
      </w:pPr>
    </w:p>
    <w:sectPr w:rsidR="003363D4" w:rsidRPr="003363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C76F" w14:textId="77777777" w:rsidR="00E02C26" w:rsidRDefault="00E02C26" w:rsidP="000C2754">
      <w:pPr>
        <w:spacing w:after="0" w:line="240" w:lineRule="auto"/>
      </w:pPr>
      <w:r>
        <w:separator/>
      </w:r>
    </w:p>
  </w:endnote>
  <w:endnote w:type="continuationSeparator" w:id="0">
    <w:p w14:paraId="2B6EB086" w14:textId="77777777" w:rsidR="00E02C26" w:rsidRDefault="00E02C26" w:rsidP="000C2754">
      <w:pPr>
        <w:spacing w:after="0" w:line="240" w:lineRule="auto"/>
      </w:pPr>
      <w:r>
        <w:continuationSeparator/>
      </w:r>
    </w:p>
  </w:endnote>
  <w:endnote w:type="continuationNotice" w:id="1">
    <w:p w14:paraId="78A5A41E" w14:textId="77777777" w:rsidR="00E02C26" w:rsidRDefault="00E02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48609"/>
      <w:docPartObj>
        <w:docPartGallery w:val="Page Numbers (Bottom of Page)"/>
        <w:docPartUnique/>
      </w:docPartObj>
    </w:sdtPr>
    <w:sdtEndPr>
      <w:rPr>
        <w:noProof/>
      </w:rPr>
    </w:sdtEndPr>
    <w:sdtContent>
      <w:p w14:paraId="4FBC834C" w14:textId="26145D50" w:rsidR="003C6C95" w:rsidRDefault="003C6C95">
        <w:pPr>
          <w:pStyle w:val="Footer"/>
        </w:pPr>
        <w:r>
          <w:fldChar w:fldCharType="begin"/>
        </w:r>
        <w:r>
          <w:instrText xml:space="preserve"> PAGE   \* MERGEFORMAT </w:instrText>
        </w:r>
        <w:r>
          <w:fldChar w:fldCharType="separate"/>
        </w:r>
        <w:r w:rsidR="00B3715A">
          <w:rPr>
            <w:noProof/>
          </w:rPr>
          <w:t>1</w:t>
        </w:r>
        <w:r>
          <w:rPr>
            <w:noProof/>
          </w:rPr>
          <w:fldChar w:fldCharType="end"/>
        </w:r>
        <w:r>
          <w:rPr>
            <w:noProof/>
          </w:rPr>
          <w:tab/>
        </w:r>
        <w:r w:rsidR="0010594A">
          <w:rPr>
            <w:noProof/>
          </w:rPr>
          <w:t>Pending</w:t>
        </w:r>
        <w:r w:rsidR="001F7BD1">
          <w:rPr>
            <w:noProof/>
          </w:rPr>
          <w:t xml:space="preserve"> </w:t>
        </w:r>
        <w:r>
          <w:rPr>
            <w:noProof/>
          </w:rPr>
          <w:t>Research Prioritization</w:t>
        </w:r>
      </w:p>
    </w:sdtContent>
  </w:sdt>
  <w:p w14:paraId="1B56A672" w14:textId="77777777" w:rsidR="000C2754" w:rsidRDefault="000C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1D39" w14:textId="77777777" w:rsidR="00E02C26" w:rsidRDefault="00E02C26" w:rsidP="000C2754">
      <w:pPr>
        <w:spacing w:after="0" w:line="240" w:lineRule="auto"/>
      </w:pPr>
      <w:r>
        <w:separator/>
      </w:r>
    </w:p>
  </w:footnote>
  <w:footnote w:type="continuationSeparator" w:id="0">
    <w:p w14:paraId="0057DE5A" w14:textId="77777777" w:rsidR="00E02C26" w:rsidRDefault="00E02C26" w:rsidP="000C2754">
      <w:pPr>
        <w:spacing w:after="0" w:line="240" w:lineRule="auto"/>
      </w:pPr>
      <w:r>
        <w:continuationSeparator/>
      </w:r>
    </w:p>
  </w:footnote>
  <w:footnote w:type="continuationNotice" w:id="1">
    <w:p w14:paraId="19612CC7" w14:textId="77777777" w:rsidR="00E02C26" w:rsidRDefault="00E02C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F063" w14:textId="77777777" w:rsidR="001E3C05" w:rsidRDefault="001E3C05">
    <w:pPr>
      <w:pStyle w:val="Header"/>
    </w:pPr>
    <w:r>
      <w:t xml:space="preserve">WSCCR Strategic Oversight Committee Report, </w:t>
    </w:r>
    <w:r w:rsidR="007068FB">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5B3"/>
    <w:multiLevelType w:val="hybridMultilevel"/>
    <w:tmpl w:val="92D0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37DBA"/>
    <w:multiLevelType w:val="hybridMultilevel"/>
    <w:tmpl w:val="258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2750"/>
    <w:multiLevelType w:val="hybridMultilevel"/>
    <w:tmpl w:val="70D6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1E3B"/>
    <w:multiLevelType w:val="hybridMultilevel"/>
    <w:tmpl w:val="6616CB58"/>
    <w:lvl w:ilvl="0" w:tplc="E02A6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C04C0"/>
    <w:multiLevelType w:val="hybridMultilevel"/>
    <w:tmpl w:val="F40E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33B"/>
    <w:multiLevelType w:val="hybridMultilevel"/>
    <w:tmpl w:val="A53A46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39078D"/>
    <w:multiLevelType w:val="hybridMultilevel"/>
    <w:tmpl w:val="989A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028D6"/>
    <w:multiLevelType w:val="hybridMultilevel"/>
    <w:tmpl w:val="C26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17E3B"/>
    <w:multiLevelType w:val="hybridMultilevel"/>
    <w:tmpl w:val="044C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DA"/>
    <w:rsid w:val="0000087C"/>
    <w:rsid w:val="00042F9D"/>
    <w:rsid w:val="0004684F"/>
    <w:rsid w:val="00057600"/>
    <w:rsid w:val="00057F83"/>
    <w:rsid w:val="000A1138"/>
    <w:rsid w:val="000A4C92"/>
    <w:rsid w:val="000C2189"/>
    <w:rsid w:val="000C2754"/>
    <w:rsid w:val="000C7E50"/>
    <w:rsid w:val="000E5EA5"/>
    <w:rsid w:val="000F785B"/>
    <w:rsid w:val="001038F7"/>
    <w:rsid w:val="0010594A"/>
    <w:rsid w:val="00113C7F"/>
    <w:rsid w:val="001367D7"/>
    <w:rsid w:val="00150DF2"/>
    <w:rsid w:val="00166C65"/>
    <w:rsid w:val="00185D0D"/>
    <w:rsid w:val="00193FCA"/>
    <w:rsid w:val="001E3C05"/>
    <w:rsid w:val="001E6C80"/>
    <w:rsid w:val="001F61CC"/>
    <w:rsid w:val="001F7BD1"/>
    <w:rsid w:val="00207CA6"/>
    <w:rsid w:val="002223A9"/>
    <w:rsid w:val="002441AB"/>
    <w:rsid w:val="00250544"/>
    <w:rsid w:val="00252077"/>
    <w:rsid w:val="0025751B"/>
    <w:rsid w:val="002716E7"/>
    <w:rsid w:val="00290EA9"/>
    <w:rsid w:val="00294313"/>
    <w:rsid w:val="00294F96"/>
    <w:rsid w:val="002D7D72"/>
    <w:rsid w:val="003107A7"/>
    <w:rsid w:val="003363D4"/>
    <w:rsid w:val="00342491"/>
    <w:rsid w:val="003521B3"/>
    <w:rsid w:val="00375FE2"/>
    <w:rsid w:val="003C6698"/>
    <w:rsid w:val="003C6C95"/>
    <w:rsid w:val="003D268C"/>
    <w:rsid w:val="003D5503"/>
    <w:rsid w:val="003E4F7D"/>
    <w:rsid w:val="003F0ABA"/>
    <w:rsid w:val="003F30A5"/>
    <w:rsid w:val="003F4BCF"/>
    <w:rsid w:val="00427053"/>
    <w:rsid w:val="00434632"/>
    <w:rsid w:val="00436D6D"/>
    <w:rsid w:val="004528EA"/>
    <w:rsid w:val="00461EBA"/>
    <w:rsid w:val="004677A7"/>
    <w:rsid w:val="004864A3"/>
    <w:rsid w:val="004958B8"/>
    <w:rsid w:val="004B5917"/>
    <w:rsid w:val="004C7BD8"/>
    <w:rsid w:val="004F3623"/>
    <w:rsid w:val="00500A2C"/>
    <w:rsid w:val="00501840"/>
    <w:rsid w:val="00514484"/>
    <w:rsid w:val="0054041A"/>
    <w:rsid w:val="00540B88"/>
    <w:rsid w:val="005568E1"/>
    <w:rsid w:val="0056378C"/>
    <w:rsid w:val="0056650C"/>
    <w:rsid w:val="00581E77"/>
    <w:rsid w:val="005A0E28"/>
    <w:rsid w:val="005B045D"/>
    <w:rsid w:val="005B5127"/>
    <w:rsid w:val="005D15E3"/>
    <w:rsid w:val="005D3531"/>
    <w:rsid w:val="005D71DB"/>
    <w:rsid w:val="00606823"/>
    <w:rsid w:val="006204DE"/>
    <w:rsid w:val="00622F54"/>
    <w:rsid w:val="00627830"/>
    <w:rsid w:val="00630391"/>
    <w:rsid w:val="006372AB"/>
    <w:rsid w:val="00683096"/>
    <w:rsid w:val="006A5804"/>
    <w:rsid w:val="007068FB"/>
    <w:rsid w:val="007170EE"/>
    <w:rsid w:val="00730356"/>
    <w:rsid w:val="0073396E"/>
    <w:rsid w:val="00736392"/>
    <w:rsid w:val="00742DA9"/>
    <w:rsid w:val="00743156"/>
    <w:rsid w:val="00743BC7"/>
    <w:rsid w:val="0077313B"/>
    <w:rsid w:val="00773797"/>
    <w:rsid w:val="007B6E0F"/>
    <w:rsid w:val="007C542A"/>
    <w:rsid w:val="007F1ABD"/>
    <w:rsid w:val="00812545"/>
    <w:rsid w:val="00821B15"/>
    <w:rsid w:val="00825F7E"/>
    <w:rsid w:val="008374A3"/>
    <w:rsid w:val="008518A4"/>
    <w:rsid w:val="00857688"/>
    <w:rsid w:val="008729FE"/>
    <w:rsid w:val="00896A66"/>
    <w:rsid w:val="008B7315"/>
    <w:rsid w:val="008E1ADB"/>
    <w:rsid w:val="0090008F"/>
    <w:rsid w:val="009022D2"/>
    <w:rsid w:val="00915DEA"/>
    <w:rsid w:val="00923945"/>
    <w:rsid w:val="00933047"/>
    <w:rsid w:val="0094757A"/>
    <w:rsid w:val="00951707"/>
    <w:rsid w:val="0095513C"/>
    <w:rsid w:val="009627F8"/>
    <w:rsid w:val="0097170C"/>
    <w:rsid w:val="009800D2"/>
    <w:rsid w:val="00985A08"/>
    <w:rsid w:val="0099597E"/>
    <w:rsid w:val="00997D15"/>
    <w:rsid w:val="00997E36"/>
    <w:rsid w:val="009A4841"/>
    <w:rsid w:val="009B7310"/>
    <w:rsid w:val="009D275B"/>
    <w:rsid w:val="009D4FDB"/>
    <w:rsid w:val="009D7306"/>
    <w:rsid w:val="009E0300"/>
    <w:rsid w:val="009E13D9"/>
    <w:rsid w:val="009F76AB"/>
    <w:rsid w:val="00A11091"/>
    <w:rsid w:val="00A621FA"/>
    <w:rsid w:val="00B02982"/>
    <w:rsid w:val="00B039C6"/>
    <w:rsid w:val="00B15522"/>
    <w:rsid w:val="00B175D9"/>
    <w:rsid w:val="00B2190B"/>
    <w:rsid w:val="00B3715A"/>
    <w:rsid w:val="00B374DA"/>
    <w:rsid w:val="00B4248C"/>
    <w:rsid w:val="00B9185F"/>
    <w:rsid w:val="00BD3AE6"/>
    <w:rsid w:val="00BD7C31"/>
    <w:rsid w:val="00BE38B2"/>
    <w:rsid w:val="00BF4669"/>
    <w:rsid w:val="00C11313"/>
    <w:rsid w:val="00C12E5E"/>
    <w:rsid w:val="00C144A2"/>
    <w:rsid w:val="00C16818"/>
    <w:rsid w:val="00C3312C"/>
    <w:rsid w:val="00C55A74"/>
    <w:rsid w:val="00C67AC4"/>
    <w:rsid w:val="00C84004"/>
    <w:rsid w:val="00C878A2"/>
    <w:rsid w:val="00CA04A7"/>
    <w:rsid w:val="00CA0638"/>
    <w:rsid w:val="00CC67D0"/>
    <w:rsid w:val="00CD1B1C"/>
    <w:rsid w:val="00CD2570"/>
    <w:rsid w:val="00D058F6"/>
    <w:rsid w:val="00D36CA2"/>
    <w:rsid w:val="00D42E21"/>
    <w:rsid w:val="00D52412"/>
    <w:rsid w:val="00D52D6D"/>
    <w:rsid w:val="00D76832"/>
    <w:rsid w:val="00DB138B"/>
    <w:rsid w:val="00DB72EF"/>
    <w:rsid w:val="00DC0CD6"/>
    <w:rsid w:val="00DE2F3C"/>
    <w:rsid w:val="00DF58D7"/>
    <w:rsid w:val="00E02C26"/>
    <w:rsid w:val="00E12161"/>
    <w:rsid w:val="00E31306"/>
    <w:rsid w:val="00E37856"/>
    <w:rsid w:val="00E61B78"/>
    <w:rsid w:val="00E7419B"/>
    <w:rsid w:val="00E90D13"/>
    <w:rsid w:val="00EA2BB5"/>
    <w:rsid w:val="00EB1F4D"/>
    <w:rsid w:val="00EC2980"/>
    <w:rsid w:val="00F060FA"/>
    <w:rsid w:val="00F138F9"/>
    <w:rsid w:val="00F23024"/>
    <w:rsid w:val="00F3458B"/>
    <w:rsid w:val="00F56E11"/>
    <w:rsid w:val="00F6060F"/>
    <w:rsid w:val="00F74589"/>
    <w:rsid w:val="00FA600F"/>
    <w:rsid w:val="00FC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743B"/>
  <w15:chartTrackingRefBased/>
  <w15:docId w15:val="{A5066867-E369-4875-856D-6BB5AE27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3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4DA"/>
    <w:rPr>
      <w:sz w:val="16"/>
      <w:szCs w:val="16"/>
    </w:rPr>
  </w:style>
  <w:style w:type="paragraph" w:styleId="CommentText">
    <w:name w:val="annotation text"/>
    <w:basedOn w:val="Normal"/>
    <w:link w:val="CommentTextChar"/>
    <w:uiPriority w:val="99"/>
    <w:semiHidden/>
    <w:unhideWhenUsed/>
    <w:rsid w:val="00B374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374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DA"/>
    <w:rPr>
      <w:rFonts w:ascii="Segoe UI" w:hAnsi="Segoe UI" w:cs="Segoe UI"/>
      <w:sz w:val="18"/>
      <w:szCs w:val="18"/>
    </w:rPr>
  </w:style>
  <w:style w:type="paragraph" w:styleId="ListParagraph">
    <w:name w:val="List Paragraph"/>
    <w:basedOn w:val="Normal"/>
    <w:uiPriority w:val="34"/>
    <w:qFormat/>
    <w:rsid w:val="00342491"/>
    <w:pPr>
      <w:ind w:left="720"/>
      <w:contextualSpacing/>
    </w:pPr>
  </w:style>
  <w:style w:type="character" w:customStyle="1" w:styleId="Heading1Char">
    <w:name w:val="Heading 1 Char"/>
    <w:basedOn w:val="DefaultParagraphFont"/>
    <w:link w:val="Heading1"/>
    <w:uiPriority w:val="9"/>
    <w:rsid w:val="008B73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31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C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754"/>
  </w:style>
  <w:style w:type="paragraph" w:styleId="Footer">
    <w:name w:val="footer"/>
    <w:basedOn w:val="Normal"/>
    <w:link w:val="FooterChar"/>
    <w:uiPriority w:val="99"/>
    <w:unhideWhenUsed/>
    <w:rsid w:val="000C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754"/>
  </w:style>
  <w:style w:type="table" w:styleId="TableGrid">
    <w:name w:val="Table Grid"/>
    <w:basedOn w:val="TableNormal"/>
    <w:uiPriority w:val="39"/>
    <w:rsid w:val="003F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F0A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F0A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3F0A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3F0A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7Colorful-Accent1">
    <w:name w:val="Grid Table 7 Colorful Accent 1"/>
    <w:basedOn w:val="TableNormal"/>
    <w:uiPriority w:val="52"/>
    <w:rsid w:val="003F0A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5">
    <w:name w:val="Grid Table 6 Colorful Accent 5"/>
    <w:basedOn w:val="TableNormal"/>
    <w:uiPriority w:val="51"/>
    <w:rsid w:val="003F0AB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Subject">
    <w:name w:val="annotation subject"/>
    <w:basedOn w:val="CommentText"/>
    <w:next w:val="CommentText"/>
    <w:link w:val="CommentSubjectChar"/>
    <w:uiPriority w:val="99"/>
    <w:semiHidden/>
    <w:unhideWhenUsed/>
    <w:rsid w:val="0054041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04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8785">
      <w:bodyDiv w:val="1"/>
      <w:marLeft w:val="0"/>
      <w:marRight w:val="0"/>
      <w:marTop w:val="0"/>
      <w:marBottom w:val="0"/>
      <w:divBdr>
        <w:top w:val="none" w:sz="0" w:space="0" w:color="auto"/>
        <w:left w:val="none" w:sz="0" w:space="0" w:color="auto"/>
        <w:bottom w:val="none" w:sz="0" w:space="0" w:color="auto"/>
        <w:right w:val="none" w:sz="0" w:space="0" w:color="auto"/>
      </w:divBdr>
    </w:div>
    <w:div w:id="460727572">
      <w:bodyDiv w:val="1"/>
      <w:marLeft w:val="0"/>
      <w:marRight w:val="0"/>
      <w:marTop w:val="0"/>
      <w:marBottom w:val="0"/>
      <w:divBdr>
        <w:top w:val="none" w:sz="0" w:space="0" w:color="auto"/>
        <w:left w:val="none" w:sz="0" w:space="0" w:color="auto"/>
        <w:bottom w:val="none" w:sz="0" w:space="0" w:color="auto"/>
        <w:right w:val="none" w:sz="0" w:space="0" w:color="auto"/>
      </w:divBdr>
    </w:div>
    <w:div w:id="708799721">
      <w:bodyDiv w:val="1"/>
      <w:marLeft w:val="0"/>
      <w:marRight w:val="0"/>
      <w:marTop w:val="0"/>
      <w:marBottom w:val="0"/>
      <w:divBdr>
        <w:top w:val="none" w:sz="0" w:space="0" w:color="auto"/>
        <w:left w:val="none" w:sz="0" w:space="0" w:color="auto"/>
        <w:bottom w:val="none" w:sz="0" w:space="0" w:color="auto"/>
        <w:right w:val="none" w:sz="0" w:space="0" w:color="auto"/>
      </w:divBdr>
    </w:div>
    <w:div w:id="14437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B604-AD03-48FD-8E97-5AA19344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Carl</dc:creator>
  <cp:keywords/>
  <dc:description/>
  <cp:lastModifiedBy>Ballou, Stephanie</cp:lastModifiedBy>
  <cp:revision>3</cp:revision>
  <cp:lastPrinted>2018-03-22T16:41:00Z</cp:lastPrinted>
  <dcterms:created xsi:type="dcterms:W3CDTF">2018-03-28T16:10:00Z</dcterms:created>
  <dcterms:modified xsi:type="dcterms:W3CDTF">2018-04-02T20:59:00Z</dcterms:modified>
</cp:coreProperties>
</file>